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BA" w:rsidRDefault="008A6CB5" w:rsidP="00E37DBA">
      <w:pPr>
        <w:pStyle w:val="a3"/>
        <w:shd w:val="clear" w:color="auto" w:fill="FFFFFF"/>
        <w:spacing w:before="0" w:beforeAutospacing="0" w:after="0" w:afterAutospacing="0"/>
        <w:jc w:val="center"/>
        <w:rPr>
          <w:b/>
          <w:bCs/>
          <w:color w:val="333333"/>
          <w:sz w:val="36"/>
          <w:szCs w:val="36"/>
        </w:rPr>
      </w:pPr>
      <w:bookmarkStart w:id="0" w:name="_GoBack"/>
      <w:bookmarkEnd w:id="0"/>
      <w:r>
        <w:rPr>
          <w:rFonts w:hint="eastAsia"/>
          <w:b/>
          <w:bCs/>
          <w:noProof/>
          <w:color w:val="333333"/>
          <w:sz w:val="36"/>
          <w:szCs w:val="36"/>
        </w:rPr>
        <w:drawing>
          <wp:anchor distT="0" distB="0" distL="114300" distR="114300" simplePos="0" relativeHeight="251658240" behindDoc="0" locked="0" layoutInCell="1" allowOverlap="1">
            <wp:simplePos x="0" y="0"/>
            <wp:positionH relativeFrom="column">
              <wp:posOffset>-838200</wp:posOffset>
            </wp:positionH>
            <wp:positionV relativeFrom="paragraph">
              <wp:posOffset>-590550</wp:posOffset>
            </wp:positionV>
            <wp:extent cx="6924675" cy="9820151"/>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9b38a69f25a49b0a80f4749a6c72479.jpeg"/>
                    <pic:cNvPicPr/>
                  </pic:nvPicPr>
                  <pic:blipFill>
                    <a:blip r:embed="rId7">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6927627" cy="9824337"/>
                    </a:xfrm>
                    <a:prstGeom prst="rect">
                      <a:avLst/>
                    </a:prstGeom>
                  </pic:spPr>
                </pic:pic>
              </a:graphicData>
            </a:graphic>
            <wp14:sizeRelH relativeFrom="margin">
              <wp14:pctWidth>0</wp14:pctWidth>
            </wp14:sizeRelH>
            <wp14:sizeRelV relativeFrom="margin">
              <wp14:pctHeight>0</wp14:pctHeight>
            </wp14:sizeRelV>
          </wp:anchor>
        </w:drawing>
      </w:r>
    </w:p>
    <w:p w:rsidR="00E37DBA" w:rsidRDefault="00E37DBA">
      <w:pPr>
        <w:widowControl/>
        <w:jc w:val="left"/>
        <w:rPr>
          <w:rFonts w:ascii="宋体" w:eastAsia="宋体" w:hAnsi="宋体" w:cs="宋体"/>
          <w:b/>
          <w:bCs/>
          <w:color w:val="333333"/>
          <w:kern w:val="0"/>
          <w:sz w:val="36"/>
          <w:szCs w:val="36"/>
        </w:rPr>
      </w:pPr>
      <w:r>
        <w:rPr>
          <w:b/>
          <w:bCs/>
          <w:color w:val="333333"/>
          <w:sz w:val="36"/>
          <w:szCs w:val="36"/>
        </w:rPr>
        <w:br w:type="page"/>
      </w:r>
    </w:p>
    <w:p w:rsidR="008A6CB5" w:rsidRDefault="008A6CB5" w:rsidP="008A6CB5">
      <w:pPr>
        <w:pStyle w:val="a3"/>
        <w:shd w:val="clear" w:color="auto" w:fill="FFFFFF"/>
        <w:spacing w:before="0" w:beforeAutospacing="0" w:after="0" w:afterAutospacing="0"/>
        <w:jc w:val="center"/>
        <w:rPr>
          <w:color w:val="333333"/>
        </w:rPr>
      </w:pPr>
      <w:r>
        <w:rPr>
          <w:rFonts w:hint="eastAsia"/>
          <w:b/>
          <w:bCs/>
          <w:color w:val="333333"/>
          <w:sz w:val="36"/>
          <w:szCs w:val="36"/>
        </w:rPr>
        <w:lastRenderedPageBreak/>
        <w:t>国家职业教育改革实施方案</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职业教育与普通教育是两种不同教育类型，具有同等重要地位。改革开放以来，职业教育为我国经济社会发展提供了有力的人才和智力支撑，现代职业教育体系框架全面建成，服务经济社会发展能力和社会吸引力不断增强，具备了基本实现现代化的诸多有利条件和良好工作基础。随着我国进入新的发展阶段，产业升级和经济结构调整不断加快，各行各业对技术技能人才的需求越来越紧迫，职业教育重要地位和作用越来越凸显。但是，与发达国家相比，与建设现代化经济体系、建设教育强国的要求相比，我国职业教育还存在着体系建设不够完善、职业技能实训基地建设有待加强、制度标准不够健全、企业参与办学的动力不足、有利于技术技能人才成长的配套政策尚待完善、办学和人才培养质量水平参差不齐等问题，到了必须下大力气抓好的时候。没有职业教育现代化就没有教育现代化。为贯彻全国教育大会精神，进一步办好新时代职业教育，落实《中华人民共和国职业教育法》，制定本实施方案。</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总体要求与目标：</w:t>
      </w:r>
      <w:r w:rsidRPr="00E37DBA">
        <w:rPr>
          <w:rFonts w:hint="eastAsia"/>
          <w:color w:val="333333"/>
          <w:sz w:val="32"/>
          <w:szCs w:val="32"/>
        </w:rPr>
        <w:t>坚持以习近平新时代中国特色社会主义思想为指导，把职业教育摆在教育改革创新和经济社会发展中更加突出的位置。牢固树立新发展理念，服务建设现代化经济体系和实现更高质量更充分就业需要，对接科技发展</w:t>
      </w:r>
      <w:r w:rsidRPr="00E37DBA">
        <w:rPr>
          <w:rFonts w:hint="eastAsia"/>
          <w:color w:val="333333"/>
          <w:sz w:val="32"/>
          <w:szCs w:val="32"/>
        </w:rPr>
        <w:lastRenderedPageBreak/>
        <w:t>趋势和市场需求，完善职业教育和培训体系，优化学校、专业布局，深化办学体制改革和育人机制改革，以促进就业和适应产业发展需求为导向，鼓励和支持社会各界特别是企业积极支持职业教育，着力培养高素质劳动者和技术技能人才。经过5—10年左右时间，职业教育基本完成由政府举办为主向政府统筹管理、社会多元办学的格局转变，由追求规模扩张向提高质量转变，由参照普通教育办学模式向企业社会参与、专业特色鲜明的类型教育转变，大幅提升新时代职业教育现代化水平，为促进经济社会发展和提高国家竞争力提供优质人才资源支撑。</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具体指标：</w:t>
      </w:r>
      <w:r w:rsidRPr="00E37DBA">
        <w:rPr>
          <w:rFonts w:hint="eastAsia"/>
          <w:color w:val="333333"/>
          <w:sz w:val="32"/>
          <w:szCs w:val="32"/>
        </w:rPr>
        <w:t>到2022年，职业院校教学条件基本达标，一大批普通本科高等学校向应用型转变，建设50所高水平高等职业学校和150个骨干专业（群）。建成覆盖大部分行业领域、具有国际先进水平的中国职业教育标准体系。企业参与职业教育的积极性有较大提升，培育数以万计的产教融合型企业，打造一批优秀职业教育培训评价组织，推动建设300个具有辐射引领作用的高水平专业化产教融合实训基地。职业院校实践性教学课时原则上占总课时一半以上，顶岗实习时间一般为6个月。“双师型”教师（同时具备理论教学和实践教学能力的教师）占专业课教师总数超过一半，分专业建设一批国家级职业教育教师教学创新团队。从2019年开始，在职业院校、应用型本科高校启动“学历证书+若干职</w:t>
      </w:r>
      <w:r w:rsidRPr="00E37DBA">
        <w:rPr>
          <w:rFonts w:hint="eastAsia"/>
          <w:color w:val="333333"/>
          <w:sz w:val="32"/>
          <w:szCs w:val="32"/>
        </w:rPr>
        <w:lastRenderedPageBreak/>
        <w:t>业技能等级证书”制度试点（以下称1+X证书制度试点）工作。</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b/>
          <w:bCs/>
          <w:color w:val="333333"/>
          <w:sz w:val="32"/>
          <w:szCs w:val="32"/>
        </w:rPr>
        <w:t>一、完善国家职业教育制度体系</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（一）健全国家职业教育制度框架。</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把握好正确的改革方向，按照“管好两端、规范中间、书证融通、办学多元”的原则，严把教学标准和毕业学生质量标准两个关口。将标准化建设作为统领职业教育发展的突破口，完善职业教育体系，为服务现代制造业、现代服务业、现代农业发展和职业教育现代化提供制度保障与人才支持。建立健全学校设置、师资队伍、教学教材、信息化建设、安全设施等办学标准，引领职业教育服务发展、促进就业创业。落实好立德树人根本任务，健全德技并修、工学结合的育人机制，完善评价机制，规范人才培养全过程。深化产教融合、校企合作，育训结合，健全多元化办学格局，推动企业深度参与协同育人，扶持鼓励企业和社会力量参与举办各类职业教育。推进资历框架建设，探索实现学历证书和职业技能等级证书互通衔接。</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（二）提高中等职业教育发展水平。</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优化教育结构，把发展中等职业教育作为普及高中阶段教育和建设中国特色职业教育体系的重要基础，保持高中阶段教育职普比大体相当，使绝大多数城乡新增劳动力接受高中阶段教育。改善中等职业学校基本办学条件。加强省级统</w:t>
      </w:r>
      <w:r w:rsidRPr="00E37DBA">
        <w:rPr>
          <w:rFonts w:hint="eastAsia"/>
          <w:color w:val="333333"/>
          <w:sz w:val="32"/>
          <w:szCs w:val="32"/>
        </w:rPr>
        <w:lastRenderedPageBreak/>
        <w:t>筹，建好办好一批县域职教中心，重点支持集中连片特困地区每个地（市、州、盟）原则上至少建设一所符合当地经济社会发展和技术技能人才培养需要的中等职业学校。指导各地优化中等职业学校布局结构，科学配置并做大做强职业教育资源。加大对民族地区、贫困地区和残疾人职业教育的政策、金融支持力度，落实职业教育东西协作行动计划，办好内地少数民族中职班。完善招生机制，建立中等职业学校和普通高中统一招生平台，精准服务区域发展需求。积极招收初高中毕业未升学学生、退役军人、退役运动员、下岗职工、返乡农民工等接受中等职业教育；服务乡村振兴战略，为广大农村培养以新型职业农民为主体的农村实用人才。发挥中等职业学校作用，帮助部分学业困难学生按规定在职业学校完成义务教育，并接受部分职业技能学习。</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鼓励中等职业学校联合中小学开展劳动和职业启蒙教育，将动手实践内容纳入中小学相关课程和学生综合素质评价。</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（三）推进高等职业教育高质量发展。</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把发展高等职业教育作为优化高等教育结构和培养大国工匠、能工巧匠的重要方式，使城乡新增劳动力更多接受高等教育。高等职业学校要培养服务区域发展的高素质技术技能人才，重点服务企业特别是中小微企业的技术研发和产品升级，加强社区教育和终身学习服务。建立“职教高考”制度，完善“文化素质+职业技能”的考试招生办法，提高生</w:t>
      </w:r>
      <w:r w:rsidRPr="00E37DBA">
        <w:rPr>
          <w:rFonts w:hint="eastAsia"/>
          <w:color w:val="333333"/>
          <w:sz w:val="32"/>
          <w:szCs w:val="32"/>
        </w:rPr>
        <w:lastRenderedPageBreak/>
        <w:t>源质量，为学生接受高等职业教育提供多种入学方式和学习方式。在学前教育、护理、养老服务、健康服务、现代服务业等领域，扩大对初中毕业生实行中高职贯通培养的招生规模。启动实施中国特色高水平高等职业学校和专业建设计划，建设一批引领改革、支撑发展、中国特色、世界水平的高等职业学校和骨干专业（群）。根据高等学校设置制度规定，将符合条件的技师学院纳入高等学校序列。</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（四）完善高层次应用型人才培养体系。</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完善学历教育与培训并重的现代职业教育体系，畅通技术技能人才成长渠道。发展以职业需求为导向、以实践能力培养为重点、以产学研用结合为途径的专业学位研究生培养模式，加强专业学位硕士研究生培养。推动具备条件的普通本科高校向应用型转变，鼓励有条件的普通高校开办应用技术类型专业或课程。开展本科层次职业教育试点。制定中国技能大赛、全国职业院校技能大赛、世界技能大赛获奖选手等免试入学政策，探索长学制培养高端技术技能人才。服务军民融合发展，把军队相关的职业教育纳入国家职业教育大体系，共同做好面向现役军人的教育培训，支持其在服役期间取得多类职业技能等级证书，提升技术技能水平。落实好定向培养直招士官政策，推动地方院校与军队院校有效对接，推动优质职业教育资源向军事人才培养开放，建立军地网络教育资源共享机制。制订具体政策办法，支持适合的退役军</w:t>
      </w:r>
      <w:r w:rsidRPr="00E37DBA">
        <w:rPr>
          <w:rFonts w:hint="eastAsia"/>
          <w:color w:val="333333"/>
          <w:sz w:val="32"/>
          <w:szCs w:val="32"/>
        </w:rPr>
        <w:lastRenderedPageBreak/>
        <w:t>人进入职业院校和普通本科高校接受教育和培训，鼓励支持设立退役军人教育培训集团（联盟），推动退役、培训、就业有机衔接，为促进退役军人特别是退役士兵就业创业作出贡献。</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b/>
          <w:bCs/>
          <w:color w:val="333333"/>
          <w:sz w:val="32"/>
          <w:szCs w:val="32"/>
        </w:rPr>
        <w:t>二、构建职业教育国家标准</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（五）完善教育教学相关标准。</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发挥标准在职业教育质量提升中的基础性作用。按照专业设置与产业需求对接、课程内容与职业标准对接、教学过程与生产过程对接的要求，完善中等、高等职业学校设置标准，规范职业院校设置；实施教师和校长专业标准，提升职业院校教学管理和教学实践能力。持续更新并推进专业目录、专业教学标准、课程标准、顶岗实习标准、实训条件建设标准（仪器设备配备规范）建设和在职业院校落地实施。巩固和发展国务院教育行政部门联合行业制定国家教学标准、职业院校依据标准自主制订人才培养方案的工作格局。</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（六）启动1+X证书制度试点工作。</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深化复合型技术技能人才培养培训模式改革，借鉴国际职业教育培训普遍做法，制订工作方案和具体管理办法，启动1+X证书制度试点工作。试点工作要进一步发挥好学历证书作用，夯实学生可持续发展基础，鼓励职业院校学生在获得学历证书的同时，积极取得多类职业技能等级证书，拓展就业创业本领，缓解结构性就业矛盾。国务院人力资源社会</w:t>
      </w:r>
      <w:r w:rsidRPr="00E37DBA">
        <w:rPr>
          <w:rFonts w:hint="eastAsia"/>
          <w:color w:val="333333"/>
          <w:sz w:val="32"/>
          <w:szCs w:val="32"/>
        </w:rPr>
        <w:lastRenderedPageBreak/>
        <w:t>保障行政部门、教育行政部门在职责范围内，分别负责管理监督考核院校外、院校内职业技能等级证书的实施（技工院校内由人力资源社会保障行政部门负责），国务院人力资源社会保障行政部门组织制定职业标准，国务院教育行政部门依照职业标准牵头组织开发教学等相关标准。院校内培训可面向社会人群，院校外培训也可面向在校学生。各类职业技能等级证书具有同等效力，持有证书人员享受同等待遇。院校内实施的职业技能等级证书分为初级、中级、高级，是职业技能水平的凭证，反映职业活动和个人职业生涯发展所需要的综合能力。</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（七）开展高质量职业培训。</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落实职业院校实施学历教育与培训并举的法定职责，按照育训结合、长短结合、内外结合的要求，面向在校学生和全体社会成员开展职业培训。自2019年开始，围绕现代农业、先进制造业、现代服务业、战略性新兴产业，推动职业院校在10个左右技术技能人才紧缺领域大力开展职业培训。引导行业企业深度参与技术技能人才培养培训，促进职业院校加强专业建设、深化课程改革、增强实训内容、提高师资水平，全面提升教育教学质量。各级政府要积极支持职业培训，行政部门要简政放权并履行好监管职责，相关下属机构要优化服务，对于违规收取费用的要严肃处理。畅通技术技能人才职业发展通道，鼓励其持续获得适应经济社会发展需</w:t>
      </w:r>
      <w:r w:rsidRPr="00E37DBA">
        <w:rPr>
          <w:rFonts w:hint="eastAsia"/>
          <w:color w:val="333333"/>
          <w:sz w:val="32"/>
          <w:szCs w:val="32"/>
        </w:rPr>
        <w:lastRenderedPageBreak/>
        <w:t>要的职业培训证书，引导和支持企业等用人单位落实相关待遇。对取得职业技能等级证书的离校未就业高校毕业生，按规定落实职业培训补贴政策。</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（八）实现学习成果的认定、积累和转换。</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加快推进职业教育国家“学分银行”建设，从2019年开始，探索建立职业教育个人学习账号，实现学习成果可追溯、可查询、可转换。有序开展学历证书和职业技能等级证书所体现的学习成果的认定、积累和转换，为技术技能人才持续成长拓宽通道。职业院校对取得若干职业技能等级证书的社会成员，支持其根据证书等级和类别免修部分课程，在完成规定内容学习后依法依规取得学历证书。对接受职业院校学历教育并取得毕业证书的学生，在参加相应的职业技能等级证书考试时，可免试部分内容。从2019年起，在有条件的地区和高校探索实施试点工作，制定符合国情的国家资历框架。</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b/>
          <w:bCs/>
          <w:color w:val="333333"/>
          <w:sz w:val="32"/>
          <w:szCs w:val="32"/>
        </w:rPr>
        <w:t>三、促进产教融合校企“双元”育人</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（九）坚持知行合一、工学结合。</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借鉴“双元制”等模式，总结现代学徒制和企业新型学徒制试点经验，校企共同研究制定人才培养方案，及时将新技术、新工艺、新规范纳入教学标准和教学内容，强化学生实习实训。健全专业设置定期评估机制，强化地方引导本区域职业院校优化专业设置的职责，原则上每5年修订1次职</w:t>
      </w:r>
      <w:r w:rsidRPr="00E37DBA">
        <w:rPr>
          <w:rFonts w:hint="eastAsia"/>
          <w:color w:val="333333"/>
          <w:sz w:val="32"/>
          <w:szCs w:val="32"/>
        </w:rPr>
        <w:lastRenderedPageBreak/>
        <w:t>业院校专业目录，学校依据目录灵活自主设置专业，每年调整1次专业。健全专业教学资源库，建立共建共享平台的资源认证标准和交易机制，进一步扩大优质资源覆盖面。遴选认定一大批职业教育在线精品课程，建设一大批校企“双元”合作开发的国家规划教材，倡导使用新型活页式、工作手册式教材并配套开发信息化资源。每3年修订1次教材，其中专业教材随信息技术发展和产业升级情况及时动态更新。适应“互联网+职业教育”发展需求，运用现代信息技术改进教学方式方法，推进虚拟工厂等网络学习空间建设和普遍应用。</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（十）推动校企全面加强深度合作。</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职业院校应当根据自身特点和人才培养需要，主动与具备条件的企业在人才培养、技术创新、就业创业、社会服务、文化传承等方面开展合作。学校积极为企业提供所需的课程、师资等资源，企业应当依法履行实施职业教育的义务，利用资本、技术、知识、设施、设备和管理等要素参与校企合作，促进人力资源开发。校企合作中，学校可从中获得智力、专利、教育、劳务等报酬，具体分配由学校按规定自行处理。在开展国家产教融合建设试点基础上，建立产教融合型企业认证制度，对进入目录的产教融合型企业给予“金融+财政+土地+信用”的组合式激励，并按规定落实相关税收政策。试点企业兴办职业教育的投资符合条件的，可按投资额一定</w:t>
      </w:r>
      <w:r w:rsidRPr="00E37DBA">
        <w:rPr>
          <w:rFonts w:hint="eastAsia"/>
          <w:color w:val="333333"/>
          <w:sz w:val="32"/>
          <w:szCs w:val="32"/>
        </w:rPr>
        <w:lastRenderedPageBreak/>
        <w:t>比例抵免该企业当年应缴教育费附加和地方教育附加。厚植企业承担职业教育责任的社会环境，推动职业院校和行业企业形成命运共同体。</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（十一）打造一批高水平实训基地。</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加大政策引导力度，充分调动各方面深化职业教育改革创新的积极性，带动各级政府、企业和职业院校建设一批资源共享，集实践教学、社会培训、企业真实生产和社会技术服务于一体的高水平职业教育实训基地。面向先进制造业等技术技能人才紧缺领域，统筹多种资源，建设若干具有辐射引领作用的高水平专业化产教融合实训基地，推动开放共享，辐射区域内学校和企业；鼓励职业院校建设或校企共建一批校内实训基地，提升重点专业建设和校企合作育人水平。积极吸引企业和社会力量参与，指导各地各校借鉴德国、日本、瑞士等国家经验，探索创新实训基地运营模式。提高实训基地规划、管理水平，为社会公众、职业院校在校生取得职业技能等级证书和企业提升人力资源水平提供有力支撑。</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（十二）多措并举打造“双师型”教师队伍。</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从2019年起，职业院校、应用型本科高校相关专业教师原则上从具有3年以上企业工作经历并具有高职以上学历的人员中公开招聘，特殊高技能人才（含具有高级工以上职业资格人员）可适当放宽学历要求，2020年起基本不再从应届毕业生中招聘。加强职业技术师范院校建设，优化结构布局，</w:t>
      </w:r>
      <w:r w:rsidRPr="00E37DBA">
        <w:rPr>
          <w:rFonts w:hint="eastAsia"/>
          <w:color w:val="333333"/>
          <w:sz w:val="32"/>
          <w:szCs w:val="32"/>
        </w:rPr>
        <w:lastRenderedPageBreak/>
        <w:t>引导一批高水平工科学校举办职业技术师范教育。实施职业院校教师素质提高计划，建立100个“双师型”教师培养培训基地，职业院校、应用型本科高校教师每年至少1个月在企业或实训基地实训，落实教师5年一周期的全员轮训制度。探索组建高水平、结构化教师教学创新团队，教师分工协作进行模块化教学。定期组织选派职业院校专业骨干教师赴国外研修访学。在职业院校实行高层次、高技能人才以直接考察的方式公开招聘。建立健全职业院校自主聘任兼职教师的办法，推动企业工程技术人员、高技能人才和职业院校教师双向流动。职业院校通过校企合作、技术服务、社会培训、自办企业等所得收入，可按一定比例作为绩效工资来源。</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b/>
          <w:bCs/>
          <w:color w:val="333333"/>
          <w:sz w:val="32"/>
          <w:szCs w:val="32"/>
        </w:rPr>
        <w:t>四、建设多元办学格局</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（十三）推动企业和社会力量举办高质量职业教育。</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各级政府部门要深化“放管服”改革，加快推进职能转变，由注重“办”职业教育向“管理与服务”过渡。政府主要负责规划战略、制定政策、依法依规监管。发挥企业重要办学主体作用，鼓励有条件的企业特别是大企业举办高质量职业教育，各级人民政府可按规定给予适当支持。完善企业经营管理和技术人员与学校领导、骨干教师相互兼职兼薪制度。2020年初步建成300个示范性职业教育集团（联盟），带动中小企业参与。支持和规范社会力量兴办职业教育培训，鼓励发展股份制、混合所有制等职业院校和各类职业培训机</w:t>
      </w:r>
      <w:r w:rsidRPr="00E37DBA">
        <w:rPr>
          <w:rFonts w:hint="eastAsia"/>
          <w:color w:val="333333"/>
          <w:sz w:val="32"/>
          <w:szCs w:val="32"/>
        </w:rPr>
        <w:lastRenderedPageBreak/>
        <w:t>构。建立公开透明规范的民办职业教育准入、审批制度，探索民办职业教育负面清单制度，建立健全退出机制。</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（十四）做优职业教育培训评价组织。</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职业教育包括职业学校教育和职业培训，职业院校和应用型本科高校按照国家教学标准和规定职责完成教学任务和职业技能人才培养。同时，也必须调动社会力量，补充校园不足，助力校园办学。能够依据国家有关法规和职业标准、教学标准完成的职业技能培训，要更多通过职业教育培训评价组织（以下简称培训评价组织）等参与实施。政府通过放宽准入，严格末端监督执法，严格控制数量，扶优、扶大、扶强，保证培训质量和学生能力水平。要按照在已成熟的品牌中遴选一批、在成长中的品牌中培育一批、在有需要但还没有建立项目的领域中规划一批的原则，以社会化机制公开招募并择优遴选培训评价组织，优先从制订过国家职业标准并完成标准教材编写，具有专家、师资团队、资金实力和5年以上优秀培训业绩的机构中选择。培训评价组织应对接职业标准，与国际先进标准接轨，按有关规定开发职业技能等级标准，负责实施职业技能考核、评价和证书发放。政府部门要加强监管，防止出现乱培训、滥发证现象。行业协会要积极配合政府，为培训评价组织提供好服务环境支持，不得以任何方式收取费用或干预企业办学行为。</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b/>
          <w:bCs/>
          <w:color w:val="333333"/>
          <w:sz w:val="32"/>
          <w:szCs w:val="32"/>
        </w:rPr>
        <w:t>五、完善技术技能人才保障政策</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lastRenderedPageBreak/>
        <w:t>（十五）提高技术技能人才待遇水平。</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支持技术技能人才凭技能提升待遇，鼓励企业职务职级晋升和工资分配向关键岗位、生产一线岗位和紧缺急需的高层次、高技能人才倾斜。建立国家技术技能大师库，鼓励技术技能大师建立大师工作室，并按规定给予政策和资金支持，支持技术技能大师到职业院校担任兼职教师，参与国家重大工程项目联合攻关。积极推动职业院校毕业生在落户、就业、参加机关事业单位招聘、职称评审、职级晋升等方面与普通高校毕业生享受同等待遇。逐步提高技术技能人才特别是技术工人收入水平和地位。机关和企事业单位招用人员不得歧视职业院校毕业生。国务院人力资源社会保障行政部门会同有关部门，适时组织清理调整对技术技能人才的歧视政策，推动形成人人皆可成才、人人尽展其才的良好环境。按照国家有关规定加大对职业院校参加有关技能大赛成绩突出毕业生的表彰奖励力度。办好职业教育活动周和世界青年技能日宣传活动，深入开展“大国工匠进校园”、“劳模进校园”、“优秀职校生校园分享”等活动，宣传展示大国工匠、能工巧匠和高素质劳动者的事迹和形象，培育和传承好工匠精神。</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（十六）健全经费投入机制。</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各级政府要建立与办学规模、培养成本、办学质量等相适应的财政投入制度，地方政府要按规定制定并落实职业院校生均经费标准或公用经费标准。在保障教育合理投入的同</w:t>
      </w:r>
      <w:r w:rsidRPr="00E37DBA">
        <w:rPr>
          <w:rFonts w:hint="eastAsia"/>
          <w:color w:val="333333"/>
          <w:sz w:val="32"/>
          <w:szCs w:val="32"/>
        </w:rPr>
        <w:lastRenderedPageBreak/>
        <w:t>时，优化教育支出结构，新增教育经费要向职业教育倾斜。鼓励社会力量捐资、出资兴办职业教育，拓宽办学筹资渠道。进一步完善中等职业学校生均拨款制度，各地中等职业学校生均财政拨款水平可适当高于当地普通高中。各地在继续巩固落实好高等职业教育生均财政拨款水平达到12000元的基础上，根据发展需要和财力可能逐步提高拨款水平。组织实施好现代职业教育质量提升计划、产教融合工程等。经费投入要进一步突出改革导向，支持校企合作，注重向中西部、贫困地区和民族地区倾斜。进一步扩大职业院校助学金覆盖面，完善补助标准动态调整机制，落实对建档立卡等家庭经济困难学生的倾斜政策，健全职业教育奖学金制度。</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b/>
          <w:bCs/>
          <w:color w:val="333333"/>
          <w:sz w:val="32"/>
          <w:szCs w:val="32"/>
        </w:rPr>
        <w:t>六、加强职业教育办学质量督导评价</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（十七）建立健全职业教育质量评价和督导评估制度。</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以学习者的职业道德、技术技能水平和就业质量，以及产教融合、校企合作水平为核心，建立职业教育质量评价体系。定期对职业技能等级证书有关工作进行“双随机、一公开”的抽查和监督，从2019年起，对培训评价组织行为和职业院校培训质量进行监测和评估。实施职业教育质量年度报告制度，报告向社会公开。完善政府、行业、企业、职业院校等共同参与的质量评价机制，积极支持第三方机构开展评估，将考核结果作为政策支持、绩效考核、表彰奖励的重要依据。完善职业教育督导评估办法，建立职业教育定期督</w:t>
      </w:r>
      <w:r w:rsidRPr="00E37DBA">
        <w:rPr>
          <w:rFonts w:hint="eastAsia"/>
          <w:color w:val="333333"/>
          <w:sz w:val="32"/>
          <w:szCs w:val="32"/>
        </w:rPr>
        <w:lastRenderedPageBreak/>
        <w:t>导评估和专项督导评估制度，落实督导报告、公报、约谈、限期整改、奖惩等制度。国务院教育督导委员会定期听取职业教育督导评估情况汇报。</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（十八）支持组建国家职业教育指导咨询委员会。</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为把握正确的国家职业教育改革发展方向，创新我国职业教育改革发展模式，提出重大政策研究建议，参与起草、制订国家职业教育法律法规，开展重大改革调研，提供各种咨询意见，进一步提高政府决策科学化水平，规划并审议职业教育标准等，在政府指导下组建国家职业教育指导咨询委员会。成员包括政府人员、职业教育专家、行业企业专家、管理专家、职业教育研究人员、中华职业教育社等团体和社会各方面热心职业教育的人士。通过政府购买服务等方式，听取咨询机构提出的意见建议并鼓励社会和民间智库参与。政府可以委托国家职业教育指导咨询委员会作为第三方，对全国职业院校、普通高校、校企合作企业、培训评价组织的教育管理、教学质量、办学方式模式、师资培养、学生职业技能提升等情况，进行指导、考核、评估等。</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b/>
          <w:bCs/>
          <w:color w:val="333333"/>
          <w:sz w:val="32"/>
          <w:szCs w:val="32"/>
        </w:rPr>
        <w:t>七、做好改革组织实施工作</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（十九）加强党对职业教育工作的全面领导。</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以习近平新时代中国特色社会主义思想特别是习近平总书记关于职业教育的重要论述武装头脑、指导实践、推动工作。加强党对教育事业的全面领导，全面贯彻党的教育方针，</w:t>
      </w:r>
      <w:r w:rsidRPr="00E37DBA">
        <w:rPr>
          <w:rFonts w:hint="eastAsia"/>
          <w:color w:val="333333"/>
          <w:sz w:val="32"/>
          <w:szCs w:val="32"/>
        </w:rPr>
        <w:lastRenderedPageBreak/>
        <w:t>落实中央教育工作领导小组各项要求，保证职业教育改革发展正确方向。要充分发挥党组织在职业院校的领导核心和政治核心作用，牢牢把握学校意识形态工作领导权，将党建工作与学校事业发展同部署、同落实、同考评。指导职业院校上好思想政治理论课，实施好中等职业学校“文明风采”活动，推进职业教育领域“三全育人”综合改革试点工作，使各类课程与思想政治理论课同向同行，努力实现职业技能和职业精神培养高度融合。加强基层党组织建设，有效发挥基层党组织的战斗堡垒作用和共产党员的先锋模范作用，带动学校工会、共青团等群团组织和学生会组织建设，汇聚每一位师生员工的积极性和主动性。</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ascii="楷体" w:eastAsia="楷体" w:hAnsi="楷体" w:hint="eastAsia"/>
          <w:color w:val="333333"/>
          <w:sz w:val="32"/>
          <w:szCs w:val="32"/>
        </w:rPr>
        <w:t>（二十）完善国务院职业教育工作部际联席会议制度。</w:t>
      </w:r>
    </w:p>
    <w:p w:rsidR="008A6CB5" w:rsidRPr="00E37DBA" w:rsidRDefault="008A6CB5" w:rsidP="00E37DBA">
      <w:pPr>
        <w:pStyle w:val="a3"/>
        <w:shd w:val="clear" w:color="auto" w:fill="FFFFFF"/>
        <w:snapToGrid w:val="0"/>
        <w:spacing w:before="0" w:beforeAutospacing="0" w:after="0" w:afterAutospacing="0" w:line="360" w:lineRule="auto"/>
        <w:ind w:firstLine="480"/>
        <w:jc w:val="both"/>
        <w:rPr>
          <w:color w:val="333333"/>
          <w:sz w:val="32"/>
          <w:szCs w:val="32"/>
        </w:rPr>
      </w:pPr>
      <w:r w:rsidRPr="00E37DBA">
        <w:rPr>
          <w:rFonts w:hint="eastAsia"/>
          <w:color w:val="333333"/>
          <w:sz w:val="32"/>
          <w:szCs w:val="32"/>
        </w:rPr>
        <w:t>国务院职业教育工作部际联席会议由教育、人力资源社会保障、发展改革、工业和信息化、财政、农业农村、国资、税务、扶贫等单位组成，国务院分管教育工作的副总理担任召集人。联席会议统筹协调全国职业教育工作，研究协调解决工作中重大问题，听取国家职业教育指导咨询委员会等方面的意见建议，部署实施职业教育改革创新重大事项，每年召开两次会议，各成员单位就有关工作情况向联席会议报告。国务院教育行政部门负责职业教育工作的统筹规划、综合协调、宏观管理，国务院教育行政部门、人力资源社会保障行政部门和其他有关部门在职责范围内，分别负责有关的职业</w:t>
      </w:r>
      <w:r w:rsidRPr="00E37DBA">
        <w:rPr>
          <w:rFonts w:hint="eastAsia"/>
          <w:color w:val="333333"/>
          <w:sz w:val="32"/>
          <w:szCs w:val="32"/>
        </w:rPr>
        <w:lastRenderedPageBreak/>
        <w:t>教育工作。各成员单位要加强沟通协调，做好相关政策配套衔接，在国家和区域战略规划、重大项目安排、经费投入、企业办学、人力资源开发等方面形成政策合力。推动落实《中华人民共和国职业教育法》，为职业教育改革创新提供重要的制度保障。</w:t>
      </w:r>
    </w:p>
    <w:p w:rsidR="001A47A9" w:rsidRPr="00E37DBA" w:rsidRDefault="001A47A9" w:rsidP="00E37DBA">
      <w:pPr>
        <w:snapToGrid w:val="0"/>
        <w:spacing w:line="360" w:lineRule="auto"/>
        <w:rPr>
          <w:sz w:val="32"/>
          <w:szCs w:val="32"/>
        </w:rPr>
      </w:pPr>
    </w:p>
    <w:sectPr w:rsidR="001A47A9" w:rsidRPr="00E37DBA" w:rsidSect="00E37DBA">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A75" w:rsidRDefault="00720A75" w:rsidP="00E37DBA">
      <w:r>
        <w:separator/>
      </w:r>
    </w:p>
  </w:endnote>
  <w:endnote w:type="continuationSeparator" w:id="0">
    <w:p w:rsidR="00720A75" w:rsidRDefault="00720A75" w:rsidP="00E3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472578"/>
      <w:docPartObj>
        <w:docPartGallery w:val="Page Numbers (Bottom of Page)"/>
        <w:docPartUnique/>
      </w:docPartObj>
    </w:sdtPr>
    <w:sdtEndPr/>
    <w:sdtContent>
      <w:p w:rsidR="00E37DBA" w:rsidRDefault="00E37DBA">
        <w:pPr>
          <w:pStyle w:val="a6"/>
          <w:jc w:val="center"/>
        </w:pPr>
        <w:r>
          <w:fldChar w:fldCharType="begin"/>
        </w:r>
        <w:r>
          <w:instrText>PAGE   \* MERGEFORMAT</w:instrText>
        </w:r>
        <w:r>
          <w:fldChar w:fldCharType="separate"/>
        </w:r>
        <w:r w:rsidR="00963B03" w:rsidRPr="00963B03">
          <w:rPr>
            <w:noProof/>
            <w:lang w:val="zh-CN"/>
          </w:rPr>
          <w:t>0</w:t>
        </w:r>
        <w:r>
          <w:fldChar w:fldCharType="end"/>
        </w:r>
      </w:p>
    </w:sdtContent>
  </w:sdt>
  <w:p w:rsidR="00E37DBA" w:rsidRDefault="00E37D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A75" w:rsidRDefault="00720A75" w:rsidP="00E37DBA">
      <w:r>
        <w:separator/>
      </w:r>
    </w:p>
  </w:footnote>
  <w:footnote w:type="continuationSeparator" w:id="0">
    <w:p w:rsidR="00720A75" w:rsidRDefault="00720A75" w:rsidP="00E3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B5"/>
    <w:rsid w:val="001A47A9"/>
    <w:rsid w:val="002A0370"/>
    <w:rsid w:val="00720A75"/>
    <w:rsid w:val="008A6CB5"/>
    <w:rsid w:val="00963B03"/>
    <w:rsid w:val="00E3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CB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A6CB5"/>
    <w:rPr>
      <w:sz w:val="18"/>
      <w:szCs w:val="18"/>
    </w:rPr>
  </w:style>
  <w:style w:type="character" w:customStyle="1" w:styleId="Char">
    <w:name w:val="批注框文本 Char"/>
    <w:basedOn w:val="a0"/>
    <w:link w:val="a4"/>
    <w:uiPriority w:val="99"/>
    <w:semiHidden/>
    <w:rsid w:val="008A6CB5"/>
    <w:rPr>
      <w:sz w:val="18"/>
      <w:szCs w:val="18"/>
    </w:rPr>
  </w:style>
  <w:style w:type="paragraph" w:styleId="a5">
    <w:name w:val="header"/>
    <w:basedOn w:val="a"/>
    <w:link w:val="Char0"/>
    <w:uiPriority w:val="99"/>
    <w:unhideWhenUsed/>
    <w:rsid w:val="00E37D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37DBA"/>
    <w:rPr>
      <w:sz w:val="18"/>
      <w:szCs w:val="18"/>
    </w:rPr>
  </w:style>
  <w:style w:type="paragraph" w:styleId="a6">
    <w:name w:val="footer"/>
    <w:basedOn w:val="a"/>
    <w:link w:val="Char1"/>
    <w:uiPriority w:val="99"/>
    <w:unhideWhenUsed/>
    <w:rsid w:val="00E37DBA"/>
    <w:pPr>
      <w:tabs>
        <w:tab w:val="center" w:pos="4153"/>
        <w:tab w:val="right" w:pos="8306"/>
      </w:tabs>
      <w:snapToGrid w:val="0"/>
      <w:jc w:val="left"/>
    </w:pPr>
    <w:rPr>
      <w:sz w:val="18"/>
      <w:szCs w:val="18"/>
    </w:rPr>
  </w:style>
  <w:style w:type="character" w:customStyle="1" w:styleId="Char1">
    <w:name w:val="页脚 Char"/>
    <w:basedOn w:val="a0"/>
    <w:link w:val="a6"/>
    <w:uiPriority w:val="99"/>
    <w:rsid w:val="00E37D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CB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8A6CB5"/>
    <w:rPr>
      <w:sz w:val="18"/>
      <w:szCs w:val="18"/>
    </w:rPr>
  </w:style>
  <w:style w:type="character" w:customStyle="1" w:styleId="Char">
    <w:name w:val="批注框文本 Char"/>
    <w:basedOn w:val="a0"/>
    <w:link w:val="a4"/>
    <w:uiPriority w:val="99"/>
    <w:semiHidden/>
    <w:rsid w:val="008A6CB5"/>
    <w:rPr>
      <w:sz w:val="18"/>
      <w:szCs w:val="18"/>
    </w:rPr>
  </w:style>
  <w:style w:type="paragraph" w:styleId="a5">
    <w:name w:val="header"/>
    <w:basedOn w:val="a"/>
    <w:link w:val="Char0"/>
    <w:uiPriority w:val="99"/>
    <w:unhideWhenUsed/>
    <w:rsid w:val="00E37D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37DBA"/>
    <w:rPr>
      <w:sz w:val="18"/>
      <w:szCs w:val="18"/>
    </w:rPr>
  </w:style>
  <w:style w:type="paragraph" w:styleId="a6">
    <w:name w:val="footer"/>
    <w:basedOn w:val="a"/>
    <w:link w:val="Char1"/>
    <w:uiPriority w:val="99"/>
    <w:unhideWhenUsed/>
    <w:rsid w:val="00E37DBA"/>
    <w:pPr>
      <w:tabs>
        <w:tab w:val="center" w:pos="4153"/>
        <w:tab w:val="right" w:pos="8306"/>
      </w:tabs>
      <w:snapToGrid w:val="0"/>
      <w:jc w:val="left"/>
    </w:pPr>
    <w:rPr>
      <w:sz w:val="18"/>
      <w:szCs w:val="18"/>
    </w:rPr>
  </w:style>
  <w:style w:type="character" w:customStyle="1" w:styleId="Char1">
    <w:name w:val="页脚 Char"/>
    <w:basedOn w:val="a0"/>
    <w:link w:val="a6"/>
    <w:uiPriority w:val="99"/>
    <w:rsid w:val="00E37D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7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0EB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1310</Words>
  <Characters>7467</Characters>
  <Application>Microsoft Office Word</Application>
  <DocSecurity>0</DocSecurity>
  <Lines>62</Lines>
  <Paragraphs>17</Paragraphs>
  <ScaleCrop>false</ScaleCrop>
  <Company>china</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2019-04-18T03:25:00Z</dcterms:created>
  <dcterms:modified xsi:type="dcterms:W3CDTF">2019-04-18T03:25:00Z</dcterms:modified>
</cp:coreProperties>
</file>